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tabs>
          <w:tab w:leader="none" w:pos="10773" w:val="left"/>
        </w:tabs>
        <w:ind/>
        <w:jc w:val="center"/>
        <w:rPr>
          <w:sz w:val="24"/>
        </w:rPr>
      </w:pPr>
      <w:r>
        <w:rPr>
          <w:sz w:val="24"/>
        </w:rPr>
        <w:tab/>
      </w:r>
    </w:p>
    <w:p w14:paraId="02000000">
      <w:pPr>
        <w:ind/>
        <w:jc w:val="center"/>
        <w:rPr>
          <w:sz w:val="24"/>
        </w:rPr>
      </w:pPr>
    </w:p>
    <w:p w14:paraId="03000000">
      <w:pPr>
        <w:ind/>
        <w:jc w:val="center"/>
        <w:rPr>
          <w:sz w:val="24"/>
        </w:rPr>
      </w:pPr>
    </w:p>
    <w:p w14:paraId="04000000">
      <w:pPr>
        <w:ind/>
        <w:jc w:val="center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14:paraId="05000000">
      <w:pPr>
        <w:ind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14:paraId="06000000">
      <w:pPr>
        <w:ind w:right="-464"/>
        <w:jc w:val="both"/>
        <w:rPr>
          <w:sz w:val="24"/>
        </w:rPr>
      </w:pPr>
      <w:r>
        <w:rPr>
          <w:sz w:val="24"/>
        </w:rPr>
        <w:tab/>
      </w:r>
      <w:r>
        <w:drawing>
          <wp:inline>
            <wp:extent cx="5940425" cy="8169831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tretch/>
                  </pic:blipFill>
                  <pic:spPr>
                    <a:xfrm flipH="false" flipV="false" rot="0">
                      <a:ext cx="5940425" cy="8169831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14:paraId="07000000">
      <w:pPr>
        <w:ind w:right="-464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14:paraId="08000000">
      <w:pPr>
        <w:ind w:right="-464"/>
        <w:jc w:val="both"/>
        <w:rPr>
          <w:sz w:val="24"/>
        </w:rPr>
      </w:pPr>
    </w:p>
    <w:p w14:paraId="09000000">
      <w:pPr>
        <w:ind/>
        <w:jc w:val="both"/>
        <w:rPr>
          <w:sz w:val="24"/>
        </w:rPr>
      </w:pPr>
      <w:r>
        <w:rPr>
          <w:sz w:val="24"/>
        </w:rPr>
        <w:tab/>
      </w:r>
    </w:p>
    <w:p w14:paraId="0A000000">
      <w:pPr>
        <w:ind/>
        <w:jc w:val="both"/>
        <w:rPr>
          <w:b w:val="1"/>
          <w:sz w:val="28"/>
        </w:rPr>
      </w:pPr>
      <w:r>
        <w:rPr>
          <w:b w:val="1"/>
          <w:sz w:val="28"/>
        </w:rPr>
        <w:t xml:space="preserve">Пояснительная записка </w:t>
      </w:r>
    </w:p>
    <w:p w14:paraId="0B000000">
      <w:pPr>
        <w:ind/>
        <w:jc w:val="both"/>
        <w:rPr>
          <w:b w:val="1"/>
          <w:i w:val="1"/>
          <w:sz w:val="24"/>
          <w:u w:val="single"/>
        </w:rPr>
      </w:pPr>
    </w:p>
    <w:p w14:paraId="0C000000">
      <w:pPr>
        <w:numPr>
          <w:ilvl w:val="0"/>
          <w:numId w:val="1"/>
        </w:numPr>
        <w:ind/>
        <w:contextualSpacing w:val="1"/>
        <w:jc w:val="both"/>
        <w:rPr>
          <w:b w:val="1"/>
          <w:i w:val="1"/>
          <w:sz w:val="24"/>
        </w:rPr>
      </w:pPr>
      <w:r>
        <w:rPr>
          <w:b w:val="1"/>
          <w:i w:val="1"/>
          <w:sz w:val="24"/>
        </w:rPr>
        <w:t>Нормативная база организации образовательного процесса:</w:t>
      </w:r>
    </w:p>
    <w:p w14:paraId="0D000000">
      <w:pPr>
        <w:numPr>
          <w:ilvl w:val="0"/>
          <w:numId w:val="2"/>
        </w:numPr>
        <w:ind/>
        <w:jc w:val="both"/>
        <w:rPr>
          <w:b w:val="1"/>
          <w:i w:val="1"/>
          <w:sz w:val="24"/>
        </w:rPr>
      </w:pPr>
      <w:r>
        <w:rPr>
          <w:sz w:val="24"/>
        </w:rPr>
        <w:t>Федеральный закон «Об образовании в Российской Федерации» от 29.12.2012г.  №273– ФЗ;</w:t>
      </w:r>
    </w:p>
    <w:p w14:paraId="0E000000">
      <w:pPr>
        <w:numPr>
          <w:ilvl w:val="0"/>
          <w:numId w:val="2"/>
        </w:numPr>
        <w:ind/>
        <w:jc w:val="both"/>
        <w:rPr>
          <w:b w:val="1"/>
          <w:i w:val="1"/>
          <w:sz w:val="24"/>
        </w:rPr>
      </w:pPr>
      <w:r>
        <w:rPr>
          <w:sz w:val="24"/>
        </w:rPr>
        <w:t>Закон РТ от 03.03.2012 №16 «О государственных языках Республики Татарстан и других языках в Республике Татарстан»</w:t>
      </w:r>
    </w:p>
    <w:p w14:paraId="0F000000">
      <w:pPr>
        <w:numPr>
          <w:ilvl w:val="0"/>
          <w:numId w:val="2"/>
        </w:numPr>
        <w:ind/>
        <w:jc w:val="both"/>
        <w:rPr>
          <w:sz w:val="24"/>
        </w:rPr>
      </w:pPr>
      <w:r>
        <w:rPr>
          <w:sz w:val="24"/>
        </w:rPr>
        <w:t>Основная общеоб</w:t>
      </w:r>
      <w:r>
        <w:rPr>
          <w:sz w:val="24"/>
        </w:rPr>
        <w:t>разовательная программа дошкольной группы МБОУ</w:t>
      </w:r>
      <w:r>
        <w:rPr>
          <w:sz w:val="24"/>
        </w:rPr>
        <w:t>»</w:t>
      </w:r>
      <w:r>
        <w:rPr>
          <w:sz w:val="24"/>
        </w:rPr>
        <w:t>Н</w:t>
      </w:r>
      <w:r>
        <w:rPr>
          <w:sz w:val="24"/>
        </w:rPr>
        <w:t>овочутинская</w:t>
      </w:r>
      <w:r>
        <w:rPr>
          <w:sz w:val="24"/>
        </w:rPr>
        <w:t xml:space="preserve"> ООШ»</w:t>
      </w:r>
    </w:p>
    <w:p w14:paraId="10000000">
      <w:pPr>
        <w:numPr>
          <w:ilvl w:val="0"/>
          <w:numId w:val="2"/>
        </w:numPr>
        <w:ind/>
        <w:jc w:val="both"/>
        <w:rPr>
          <w:sz w:val="24"/>
        </w:rPr>
      </w:pPr>
      <w:r>
        <w:rPr>
          <w:sz w:val="24"/>
        </w:rPr>
        <w:t>Инструктивно-методическое письмо Министерства образования РФ № 65/23-16 от 14.03.00г.  «О гигиенических требованиях к максимальной нагрузке на детей дошкольного возраста в организованных формах обучения»;</w:t>
      </w:r>
    </w:p>
    <w:p w14:paraId="11000000">
      <w:pPr>
        <w:numPr>
          <w:ilvl w:val="0"/>
          <w:numId w:val="2"/>
        </w:numPr>
        <w:ind/>
        <w:jc w:val="both"/>
        <w:rPr>
          <w:sz w:val="24"/>
        </w:rPr>
      </w:pPr>
      <w:r>
        <w:rPr>
          <w:sz w:val="24"/>
        </w:rPr>
        <w:t>СанПиН 2.4.1.3049-13  «Санитарно-эпидемиологические требования к устройству, содержанию и организации режима работы дошкольных образовательных организаций» утвержденным постановлением Главного государственного санитарного врача РФ от 15.05.2013г №26 и зарегистрированном в Минюсте России от 29.05.2013 № 28564</w:t>
      </w:r>
    </w:p>
    <w:p w14:paraId="12000000">
      <w:pPr>
        <w:numPr>
          <w:ilvl w:val="0"/>
          <w:numId w:val="3"/>
        </w:numPr>
        <w:ind/>
        <w:jc w:val="both"/>
        <w:rPr>
          <w:sz w:val="24"/>
        </w:rPr>
      </w:pPr>
      <w:r>
        <w:rPr>
          <w:sz w:val="24"/>
        </w:rPr>
        <w:t>Приказ Министерства образования и науки Российской Федерации (</w:t>
      </w:r>
      <w:r>
        <w:rPr>
          <w:sz w:val="24"/>
        </w:rPr>
        <w:t>Минобрнауки</w:t>
      </w:r>
      <w:r>
        <w:rPr>
          <w:sz w:val="24"/>
        </w:rPr>
        <w:t xml:space="preserve"> России) от 30 августа  2013 г.№1014 г. Москва. «Об утверждении Порядка организации и осуществления образовательной деятельности по основным общеобразовательным </w:t>
      </w:r>
      <w:r>
        <w:rPr>
          <w:sz w:val="24"/>
        </w:rPr>
        <w:t>программам–образовательным</w:t>
      </w:r>
      <w:r>
        <w:rPr>
          <w:sz w:val="24"/>
        </w:rPr>
        <w:t xml:space="preserve"> программам дошкольного образования»</w:t>
      </w:r>
    </w:p>
    <w:p w14:paraId="13000000">
      <w:pPr>
        <w:numPr>
          <w:ilvl w:val="0"/>
          <w:numId w:val="4"/>
        </w:numPr>
        <w:ind/>
        <w:jc w:val="both"/>
        <w:rPr>
          <w:b w:val="1"/>
          <w:sz w:val="24"/>
        </w:rPr>
      </w:pPr>
      <w:r>
        <w:rPr>
          <w:sz w:val="24"/>
        </w:rPr>
        <w:t xml:space="preserve">Приказ </w:t>
      </w:r>
      <w:r>
        <w:rPr>
          <w:sz w:val="24"/>
        </w:rPr>
        <w:t>Минобрнауки</w:t>
      </w:r>
      <w:r>
        <w:rPr>
          <w:sz w:val="24"/>
        </w:rPr>
        <w:t xml:space="preserve"> России от 17.10.2013г. №1155 "Об утверждении федерального образовательного стандарта дошкольного образования" (Зарегистрировано в Минюсте России 14.11.2013 № 30384)</w:t>
      </w:r>
      <w:r>
        <w:rPr>
          <w:sz w:val="24"/>
        </w:rPr>
        <w:t>;</w:t>
      </w:r>
    </w:p>
    <w:p w14:paraId="14000000">
      <w:pPr>
        <w:numPr>
          <w:ilvl w:val="0"/>
          <w:numId w:val="2"/>
        </w:numPr>
        <w:ind/>
        <w:jc w:val="both"/>
        <w:rPr>
          <w:sz w:val="24"/>
        </w:rPr>
      </w:pPr>
      <w:r>
        <w:rPr>
          <w:sz w:val="24"/>
        </w:rPr>
        <w:t>Письмо Министерства образования и науки РФ от 1.05.2007 №03-1213 «О методических рекомендациях по отнесению дошкольных образовательных учреждений к определенному виду»;</w:t>
      </w:r>
    </w:p>
    <w:p w14:paraId="15000000">
      <w:pPr>
        <w:numPr>
          <w:ilvl w:val="0"/>
          <w:numId w:val="5"/>
        </w:numPr>
        <w:spacing w:after="200"/>
        <w:ind w:hanging="142" w:left="426"/>
        <w:contextualSpacing w:val="1"/>
        <w:rPr>
          <w:sz w:val="24"/>
        </w:rPr>
      </w:pPr>
      <w:r>
        <w:rPr>
          <w:sz w:val="24"/>
        </w:rPr>
        <w:t xml:space="preserve">     Методические рекомендации  по организации обучения детей татарскому  и      русскому языкам в дошкольных образовательных организациях  Министерства   образования и науки Республики Татарстан от 08.11.2013 №15588/13</w:t>
      </w:r>
    </w:p>
    <w:p w14:paraId="16000000">
      <w:pPr>
        <w:numPr>
          <w:ilvl w:val="0"/>
          <w:numId w:val="1"/>
        </w:numPr>
        <w:ind/>
        <w:contextualSpacing w:val="1"/>
        <w:jc w:val="both"/>
        <w:rPr>
          <w:b w:val="1"/>
          <w:i w:val="1"/>
          <w:sz w:val="24"/>
        </w:rPr>
      </w:pPr>
      <w:r>
        <w:rPr>
          <w:b w:val="1"/>
          <w:i w:val="1"/>
          <w:sz w:val="24"/>
        </w:rPr>
        <w:t>Особенности реализации инвариантной и вариативной части:</w:t>
      </w:r>
    </w:p>
    <w:p w14:paraId="17000000">
      <w:pPr>
        <w:ind w:firstLine="709"/>
        <w:jc w:val="both"/>
        <w:rPr>
          <w:sz w:val="24"/>
        </w:rPr>
      </w:pPr>
      <w:r>
        <w:rPr>
          <w:sz w:val="24"/>
        </w:rPr>
        <w:t xml:space="preserve">В структуре учебного плана выделяется инвариантная и вариативная  часть. </w:t>
      </w:r>
    </w:p>
    <w:p w14:paraId="18000000">
      <w:pPr>
        <w:ind w:firstLine="709"/>
        <w:jc w:val="both"/>
        <w:rPr>
          <w:sz w:val="24"/>
        </w:rPr>
      </w:pPr>
      <w:r>
        <w:rPr>
          <w:sz w:val="24"/>
        </w:rPr>
        <w:t>Инвариантная часть обеспечивает выполнение обязательной части основной общеобразоват</w:t>
      </w:r>
      <w:r>
        <w:rPr>
          <w:sz w:val="24"/>
        </w:rPr>
        <w:t xml:space="preserve">ельной программы дошкольной группы </w:t>
      </w:r>
      <w:r>
        <w:rPr>
          <w:sz w:val="24"/>
        </w:rPr>
        <w:t xml:space="preserve">  на основе содержания программы «От рождения до школы» под редакцией Н.Е. </w:t>
      </w:r>
      <w:r>
        <w:rPr>
          <w:sz w:val="24"/>
        </w:rPr>
        <w:t>Вераксы</w:t>
      </w:r>
      <w:r>
        <w:rPr>
          <w:sz w:val="24"/>
        </w:rPr>
        <w:t xml:space="preserve">, Т.С. Комаровой, М.А. Васильевой. Инвариантная часть реализуется через </w:t>
      </w:r>
      <w:r>
        <w:rPr>
          <w:sz w:val="24"/>
        </w:rPr>
        <w:t xml:space="preserve">непосредственно образовательную деятельность, </w:t>
      </w:r>
      <w:r>
        <w:rPr>
          <w:sz w:val="24"/>
        </w:rPr>
        <w:t>отводимую на усвоение основной программы.</w:t>
      </w:r>
    </w:p>
    <w:p w14:paraId="19000000">
      <w:pPr>
        <w:ind w:firstLine="709"/>
        <w:jc w:val="both"/>
        <w:rPr>
          <w:sz w:val="24"/>
        </w:rPr>
      </w:pPr>
      <w:r>
        <w:rPr>
          <w:sz w:val="24"/>
        </w:rPr>
        <w:t>Согласно плану  в вариативную часть  включены ОД по реализации регионального компонента.</w:t>
      </w:r>
    </w:p>
    <w:p w14:paraId="1A000000">
      <w:pPr>
        <w:ind w:firstLine="709"/>
        <w:jc w:val="both"/>
        <w:rPr>
          <w:sz w:val="24"/>
        </w:rPr>
      </w:pPr>
      <w:r>
        <w:rPr>
          <w:sz w:val="24"/>
        </w:rPr>
        <w:t>Таким образом, общее количество ОД в неделю по возрастным группам:</w:t>
      </w:r>
    </w:p>
    <w:p w14:paraId="1B000000">
      <w:pPr>
        <w:ind w:firstLine="709"/>
        <w:jc w:val="both"/>
        <w:rPr>
          <w:sz w:val="24"/>
        </w:rPr>
      </w:pPr>
      <w:r>
        <w:rPr>
          <w:sz w:val="24"/>
        </w:rPr>
        <w:t>Базовая часть:</w:t>
      </w:r>
    </w:p>
    <w:p w14:paraId="1C000000">
      <w:pPr>
        <w:numPr>
          <w:ilvl w:val="0"/>
          <w:numId w:val="6"/>
        </w:numPr>
        <w:ind/>
        <w:jc w:val="both"/>
        <w:rPr>
          <w:sz w:val="24"/>
        </w:rPr>
      </w:pPr>
      <w:r>
        <w:rPr>
          <w:sz w:val="24"/>
        </w:rPr>
        <w:t xml:space="preserve"> М</w:t>
      </w:r>
      <w:r>
        <w:rPr>
          <w:sz w:val="24"/>
        </w:rPr>
        <w:t>ладшая группа-10 ОД</w:t>
      </w:r>
    </w:p>
    <w:p w14:paraId="1D000000">
      <w:pPr>
        <w:numPr>
          <w:ilvl w:val="0"/>
          <w:numId w:val="7"/>
        </w:numPr>
        <w:ind/>
        <w:jc w:val="both"/>
        <w:rPr>
          <w:sz w:val="24"/>
        </w:rPr>
      </w:pPr>
      <w:r>
        <w:rPr>
          <w:sz w:val="24"/>
        </w:rPr>
        <w:t>Средняя</w:t>
      </w:r>
      <w:r>
        <w:rPr>
          <w:sz w:val="24"/>
        </w:rPr>
        <w:t xml:space="preserve"> группа-</w:t>
      </w:r>
      <w:r>
        <w:rPr>
          <w:sz w:val="24"/>
        </w:rPr>
        <w:t>10</w:t>
      </w:r>
      <w:r>
        <w:rPr>
          <w:sz w:val="24"/>
        </w:rPr>
        <w:t xml:space="preserve"> </w:t>
      </w:r>
      <w:r>
        <w:rPr>
          <w:sz w:val="24"/>
        </w:rPr>
        <w:t>ОД</w:t>
      </w:r>
    </w:p>
    <w:p w14:paraId="1E000000">
      <w:pPr>
        <w:numPr>
          <w:ilvl w:val="0"/>
          <w:numId w:val="7"/>
        </w:numPr>
        <w:ind/>
        <w:jc w:val="both"/>
        <w:rPr>
          <w:sz w:val="24"/>
        </w:rPr>
      </w:pPr>
      <w:r>
        <w:rPr>
          <w:sz w:val="24"/>
        </w:rPr>
        <w:t>Старшая</w:t>
      </w:r>
      <w:r>
        <w:rPr>
          <w:sz w:val="24"/>
        </w:rPr>
        <w:t xml:space="preserve"> группа-1</w:t>
      </w:r>
      <w:r>
        <w:rPr>
          <w:sz w:val="24"/>
        </w:rPr>
        <w:t>3</w:t>
      </w:r>
      <w:r>
        <w:rPr>
          <w:sz w:val="24"/>
        </w:rPr>
        <w:t xml:space="preserve"> ОД</w:t>
      </w:r>
    </w:p>
    <w:p w14:paraId="1F000000">
      <w:pPr>
        <w:numPr>
          <w:ilvl w:val="0"/>
          <w:numId w:val="7"/>
        </w:numPr>
        <w:ind/>
        <w:jc w:val="both"/>
        <w:rPr>
          <w:sz w:val="24"/>
        </w:rPr>
      </w:pPr>
      <w:r>
        <w:rPr>
          <w:sz w:val="24"/>
        </w:rPr>
        <w:t>Подготовительная</w:t>
      </w:r>
      <w:r>
        <w:rPr>
          <w:sz w:val="24"/>
        </w:rPr>
        <w:t xml:space="preserve"> группа-1</w:t>
      </w:r>
      <w:r>
        <w:rPr>
          <w:sz w:val="24"/>
        </w:rPr>
        <w:t>5</w:t>
      </w:r>
      <w:r>
        <w:rPr>
          <w:sz w:val="24"/>
        </w:rPr>
        <w:t xml:space="preserve"> ОД</w:t>
      </w:r>
    </w:p>
    <w:p w14:paraId="20000000">
      <w:pPr>
        <w:ind/>
        <w:jc w:val="both"/>
        <w:rPr>
          <w:sz w:val="24"/>
        </w:rPr>
      </w:pPr>
      <w:r>
        <w:rPr>
          <w:sz w:val="24"/>
        </w:rPr>
        <w:t>Обучение родному (татарскому) языку начинается со второй группы раннего возраста (с 1,6 лет) и проводится воспитателем 3 раза в неделю в форме игры  в рамках режима дня       Вариативная часть:</w:t>
      </w:r>
    </w:p>
    <w:p w14:paraId="21000000">
      <w:pPr>
        <w:numPr>
          <w:ilvl w:val="0"/>
          <w:numId w:val="7"/>
        </w:numPr>
        <w:ind/>
        <w:jc w:val="both"/>
        <w:rPr>
          <w:sz w:val="24"/>
        </w:rPr>
      </w:pPr>
      <w:r>
        <w:rPr>
          <w:sz w:val="24"/>
        </w:rPr>
        <w:t>М</w:t>
      </w:r>
      <w:r>
        <w:rPr>
          <w:sz w:val="24"/>
        </w:rPr>
        <w:t xml:space="preserve">ладшая группа-0 </w:t>
      </w:r>
    </w:p>
    <w:p w14:paraId="22000000">
      <w:pPr>
        <w:numPr>
          <w:ilvl w:val="0"/>
          <w:numId w:val="7"/>
        </w:numPr>
        <w:ind/>
        <w:jc w:val="both"/>
        <w:rPr>
          <w:sz w:val="24"/>
        </w:rPr>
      </w:pPr>
      <w:r>
        <w:rPr>
          <w:sz w:val="24"/>
        </w:rPr>
        <w:t>Средняя</w:t>
      </w:r>
      <w:r>
        <w:rPr>
          <w:sz w:val="24"/>
        </w:rPr>
        <w:t>группа-</w:t>
      </w:r>
      <w:r>
        <w:rPr>
          <w:sz w:val="24"/>
        </w:rPr>
        <w:t>1 ОД</w:t>
      </w:r>
    </w:p>
    <w:p w14:paraId="23000000">
      <w:pPr>
        <w:numPr>
          <w:ilvl w:val="0"/>
          <w:numId w:val="7"/>
        </w:numPr>
        <w:ind/>
        <w:jc w:val="both"/>
        <w:rPr>
          <w:sz w:val="24"/>
        </w:rPr>
      </w:pPr>
      <w:r>
        <w:rPr>
          <w:sz w:val="24"/>
        </w:rPr>
        <w:t>Старшая</w:t>
      </w:r>
      <w:r>
        <w:rPr>
          <w:sz w:val="24"/>
        </w:rPr>
        <w:t xml:space="preserve"> группа-1</w:t>
      </w:r>
      <w:r>
        <w:rPr>
          <w:sz w:val="24"/>
        </w:rPr>
        <w:t xml:space="preserve"> ОД</w:t>
      </w:r>
    </w:p>
    <w:p w14:paraId="24000000">
      <w:pPr>
        <w:numPr>
          <w:ilvl w:val="0"/>
          <w:numId w:val="7"/>
        </w:numPr>
        <w:ind/>
        <w:jc w:val="both"/>
        <w:rPr>
          <w:sz w:val="24"/>
        </w:rPr>
      </w:pPr>
      <w:r>
        <w:rPr>
          <w:sz w:val="24"/>
        </w:rPr>
        <w:t>Подготовительная группа-3ОД</w:t>
      </w:r>
    </w:p>
    <w:p w14:paraId="25000000">
      <w:pPr>
        <w:ind w:firstLine="0" w:left="1429"/>
        <w:jc w:val="both"/>
        <w:rPr>
          <w:sz w:val="24"/>
        </w:rPr>
      </w:pPr>
    </w:p>
    <w:p w14:paraId="26000000">
      <w:pPr>
        <w:ind/>
        <w:jc w:val="both"/>
        <w:rPr>
          <w:sz w:val="24"/>
        </w:rPr>
      </w:pPr>
      <w:r>
        <w:rPr>
          <w:sz w:val="24"/>
        </w:rPr>
        <w:t>Начиная со средней группы, вводится обучение детей русскому языку</w:t>
      </w:r>
      <w:r>
        <w:rPr>
          <w:sz w:val="24"/>
        </w:rPr>
        <w:t xml:space="preserve"> .</w:t>
      </w:r>
    </w:p>
    <w:p w14:paraId="27000000">
      <w:pPr>
        <w:tabs>
          <w:tab w:leader="none" w:pos="7170" w:val="left"/>
        </w:tabs>
        <w:ind/>
        <w:jc w:val="both"/>
        <w:rPr>
          <w:sz w:val="24"/>
        </w:rPr>
      </w:pPr>
      <w:r>
        <w:rPr>
          <w:sz w:val="24"/>
        </w:rPr>
        <w:t xml:space="preserve">В </w:t>
      </w:r>
      <w:r>
        <w:rPr>
          <w:sz w:val="24"/>
        </w:rPr>
        <w:t>средн</w:t>
      </w:r>
      <w:r>
        <w:rPr>
          <w:sz w:val="24"/>
        </w:rPr>
        <w:t>ей</w:t>
      </w:r>
      <w:r>
        <w:rPr>
          <w:sz w:val="24"/>
        </w:rPr>
        <w:t xml:space="preserve"> групп</w:t>
      </w:r>
      <w:r>
        <w:rPr>
          <w:sz w:val="24"/>
        </w:rPr>
        <w:t>е</w:t>
      </w:r>
      <w:r>
        <w:rPr>
          <w:sz w:val="24"/>
        </w:rPr>
        <w:t xml:space="preserve"> обучение детей русскому языку </w:t>
      </w:r>
      <w:r>
        <w:rPr>
          <w:sz w:val="24"/>
        </w:rPr>
        <w:t xml:space="preserve"> проводится 3</w:t>
      </w:r>
      <w:r>
        <w:rPr>
          <w:sz w:val="24"/>
        </w:rPr>
        <w:t xml:space="preserve"> раза в неделю</w:t>
      </w:r>
      <w:r>
        <w:rPr>
          <w:sz w:val="24"/>
        </w:rPr>
        <w:t xml:space="preserve"> в ре</w:t>
      </w:r>
      <w:r>
        <w:rPr>
          <w:sz w:val="24"/>
        </w:rPr>
        <w:t>ж</w:t>
      </w:r>
      <w:r>
        <w:rPr>
          <w:sz w:val="24"/>
        </w:rPr>
        <w:t xml:space="preserve">имном моменте. В старшей и подгот.группах  проводится 3 раза , 2 раза </w:t>
      </w:r>
      <w:r>
        <w:rPr>
          <w:sz w:val="24"/>
        </w:rPr>
        <w:t>в рамках ОД. 1 занятие в реж.мам.</w:t>
      </w:r>
    </w:p>
    <w:p w14:paraId="28000000">
      <w:pPr>
        <w:ind/>
        <w:jc w:val="both"/>
        <w:rPr>
          <w:sz w:val="24"/>
        </w:rPr>
      </w:pPr>
    </w:p>
    <w:p w14:paraId="29000000">
      <w:pPr>
        <w:ind/>
        <w:jc w:val="both"/>
        <w:rPr>
          <w:sz w:val="24"/>
        </w:rPr>
      </w:pPr>
      <w:r>
        <w:rPr>
          <w:b w:val="1"/>
          <w:sz w:val="24"/>
        </w:rPr>
        <w:t xml:space="preserve">Учебный план  </w:t>
      </w:r>
    </w:p>
    <w:tbl>
      <w:tblPr>
        <w:tblStyle w:val="Style_1"/>
        <w:tblInd w:type="dxa" w:w="108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843"/>
        <w:gridCol w:w="718"/>
        <w:gridCol w:w="140"/>
        <w:gridCol w:w="1560"/>
        <w:gridCol w:w="850"/>
        <w:gridCol w:w="1134"/>
        <w:gridCol w:w="1134"/>
        <w:gridCol w:w="1130"/>
        <w:gridCol w:w="12"/>
      </w:tblGrid>
      <w:tr>
        <w:trPr>
          <w:trHeight w:hRule="atLeast" w:val="365"/>
        </w:trPr>
        <w:tc>
          <w:tcPr>
            <w:tcW w:type="dxa" w:w="84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00000">
            <w:pPr>
              <w:spacing w:line="276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r>
              <w:rPr>
                <w:sz w:val="24"/>
              </w:rPr>
              <w:t>п</w:t>
            </w:r>
            <w:r>
              <w:rPr>
                <w:sz w:val="24"/>
              </w:rPr>
              <w:t>/п</w:t>
            </w:r>
          </w:p>
        </w:tc>
        <w:tc>
          <w:tcPr>
            <w:tcW w:type="dxa" w:w="2418"/>
            <w:gridSpan w:val="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00000">
            <w:pPr>
              <w:spacing w:line="276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Виды организованной деятельности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shd w:fill="auto" w:val="clear"/>
          </w:tcPr>
          <w:p w14:paraId="2C000000">
            <w:pPr>
              <w:spacing w:after="200" w:line="276" w:lineRule="auto"/>
              <w:ind/>
            </w:pP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shd w:fill="auto" w:val="clear"/>
          </w:tcPr>
          <w:p w14:paraId="2D000000">
            <w:pPr>
              <w:spacing w:after="200" w:line="276" w:lineRule="auto"/>
              <w:ind/>
            </w:pP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shd w:fill="auto" w:val="clear"/>
          </w:tcPr>
          <w:p w14:paraId="2E000000">
            <w:pPr>
              <w:spacing w:after="200" w:line="276" w:lineRule="auto"/>
              <w:ind/>
            </w:pPr>
          </w:p>
        </w:tc>
        <w:tc>
          <w:tcPr>
            <w:tcW w:type="dxa" w:w="1142"/>
            <w:gridSpan w:val="2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shd w:fill="auto" w:val="clear"/>
          </w:tcPr>
          <w:p w14:paraId="2F000000">
            <w:pPr>
              <w:spacing w:after="200" w:line="276" w:lineRule="auto"/>
              <w:ind/>
            </w:pPr>
          </w:p>
        </w:tc>
      </w:tr>
      <w:tr>
        <w:trPr>
          <w:trHeight w:hRule="atLeast" w:val="154"/>
        </w:trPr>
        <w:tc>
          <w:tcPr>
            <w:tcW w:type="dxa" w:w="84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418"/>
            <w:gridSpan w:val="3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85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</w:tcPr>
          <w:p w14:paraId="30000000">
            <w:pPr>
              <w:spacing w:line="276" w:lineRule="auto"/>
              <w:ind/>
              <w:rPr>
                <w:sz w:val="24"/>
              </w:rPr>
            </w:pPr>
            <w:r>
              <w:rPr>
                <w:sz w:val="24"/>
              </w:rPr>
              <w:t>М</w:t>
            </w:r>
            <w:r>
              <w:rPr>
                <w:sz w:val="24"/>
              </w:rPr>
              <w:t xml:space="preserve">ладшая </w:t>
            </w:r>
          </w:p>
        </w:tc>
        <w:tc>
          <w:tcPr>
            <w:tcW w:type="dxa" w:w="113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</w:tcPr>
          <w:p w14:paraId="31000000">
            <w:pPr>
              <w:spacing w:line="276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 xml:space="preserve"> Средняя</w:t>
            </w:r>
          </w:p>
        </w:tc>
        <w:tc>
          <w:tcPr>
            <w:tcW w:type="dxa" w:w="113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</w:tcPr>
          <w:p w14:paraId="32000000">
            <w:pPr>
              <w:spacing w:line="276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z w:val="24"/>
              </w:rPr>
              <w:t>таршая</w:t>
            </w:r>
          </w:p>
        </w:tc>
        <w:tc>
          <w:tcPr>
            <w:tcW w:type="dxa" w:w="113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</w:tcPr>
          <w:p w14:paraId="33000000">
            <w:pPr>
              <w:spacing w:line="276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Подготовительная </w:t>
            </w:r>
          </w:p>
          <w:p w14:paraId="34000000">
            <w:pPr>
              <w:spacing w:line="276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 xml:space="preserve">к школе </w:t>
            </w:r>
          </w:p>
        </w:tc>
        <w:tc>
          <w:tcPr>
            <w:tcW w:type="dxa" w:w="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00000"/>
        </w:tc>
      </w:tr>
      <w:tr>
        <w:trPr>
          <w:trHeight w:hRule="atLeast" w:val="343"/>
        </w:trPr>
        <w:tc>
          <w:tcPr>
            <w:tcW w:type="dxa" w:w="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00000">
            <w:pPr>
              <w:spacing w:line="276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type="dxa" w:w="241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00000">
            <w:pPr>
              <w:spacing w:line="276" w:lineRule="auto"/>
              <w:ind/>
              <w:jc w:val="both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Инвариантная часть /федеральный компонент/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00000">
            <w:pPr>
              <w:spacing w:line="276" w:lineRule="auto"/>
              <w:ind/>
              <w:jc w:val="both"/>
              <w:rPr>
                <w:sz w:val="24"/>
              </w:rPr>
            </w:pP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00000">
            <w:pPr>
              <w:spacing w:line="276" w:lineRule="auto"/>
              <w:ind/>
              <w:jc w:val="both"/>
              <w:rPr>
                <w:sz w:val="24"/>
              </w:rPr>
            </w:pP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00000">
            <w:pPr>
              <w:spacing w:line="276" w:lineRule="auto"/>
              <w:ind w:right="-108"/>
              <w:jc w:val="both"/>
              <w:rPr>
                <w:sz w:val="24"/>
              </w:rPr>
            </w:pPr>
          </w:p>
        </w:tc>
        <w:tc>
          <w:tcPr>
            <w:tcW w:type="dxa" w:w="11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00000">
            <w:pPr>
              <w:spacing w:line="276" w:lineRule="auto"/>
              <w:ind/>
              <w:jc w:val="both"/>
              <w:rPr>
                <w:sz w:val="24"/>
              </w:rPr>
            </w:pPr>
          </w:p>
        </w:tc>
        <w:tc>
          <w:tcPr>
            <w:tcW w:type="dxa" w:w="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00000"/>
        </w:tc>
      </w:tr>
      <w:tr>
        <w:trPr>
          <w:trHeight w:hRule="atLeast" w:val="557"/>
        </w:trPr>
        <w:tc>
          <w:tcPr>
            <w:tcW w:type="dxa" w:w="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00000">
            <w:pPr>
              <w:spacing w:line="276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type="dxa" w:w="71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extDirection w:val="btLr"/>
          </w:tcPr>
          <w:p w14:paraId="3E000000">
            <w:pPr>
              <w:spacing w:line="276" w:lineRule="auto"/>
              <w:ind w:firstLine="0" w:left="113" w:right="113"/>
              <w:jc w:val="both"/>
              <w:rPr>
                <w:sz w:val="24"/>
              </w:rPr>
            </w:pPr>
            <w:r>
              <w:rPr>
                <w:b w:val="1"/>
                <w:i w:val="1"/>
                <w:sz w:val="24"/>
              </w:rPr>
              <w:t>Познавательное развитие</w:t>
            </w:r>
          </w:p>
        </w:tc>
        <w:tc>
          <w:tcPr>
            <w:tcW w:type="dxa" w:w="1700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00000">
            <w:pPr>
              <w:spacing w:line="276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элементарных математических представлений</w:t>
            </w:r>
          </w:p>
        </w:tc>
        <w:tc>
          <w:tcPr>
            <w:tcW w:type="dxa" w:w="85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00000">
            <w:pPr>
              <w:spacing w:line="276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1/36</w:t>
            </w:r>
          </w:p>
        </w:tc>
        <w:tc>
          <w:tcPr>
            <w:tcW w:type="dxa" w:w="11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00000">
            <w:pPr>
              <w:spacing w:line="276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1\3</w:t>
            </w:r>
            <w:r>
              <w:rPr>
                <w:sz w:val="24"/>
              </w:rPr>
              <w:t>6</w:t>
            </w:r>
          </w:p>
        </w:tc>
        <w:tc>
          <w:tcPr>
            <w:tcW w:type="dxa" w:w="11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00000">
            <w:pPr>
              <w:spacing w:line="276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1\3</w:t>
            </w:r>
            <w:r>
              <w:rPr>
                <w:sz w:val="24"/>
              </w:rPr>
              <w:t>6</w:t>
            </w:r>
          </w:p>
        </w:tc>
        <w:tc>
          <w:tcPr>
            <w:tcW w:type="dxa" w:w="113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00000">
            <w:pPr>
              <w:spacing w:line="276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2\7</w:t>
            </w:r>
            <w:r>
              <w:rPr>
                <w:sz w:val="24"/>
              </w:rPr>
              <w:t>2</w:t>
            </w:r>
          </w:p>
        </w:tc>
        <w:tc>
          <w:tcPr>
            <w:tcW w:type="dxa" w:w="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00000"/>
        </w:tc>
      </w:tr>
      <w:tr>
        <w:trPr>
          <w:trHeight w:hRule="atLeast" w:val="520"/>
        </w:trPr>
        <w:tc>
          <w:tcPr>
            <w:tcW w:type="dxa" w:w="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00000">
            <w:pPr>
              <w:spacing w:line="276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type="dxa" w:w="71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extDirection w:val="btLr"/>
          </w:tcPr>
          <w:p/>
        </w:tc>
        <w:tc>
          <w:tcPr>
            <w:tcW w:type="dxa" w:w="170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85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1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1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1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00000"/>
        </w:tc>
      </w:tr>
      <w:tr>
        <w:trPr>
          <w:trHeight w:hRule="atLeast" w:val="467"/>
        </w:trPr>
        <w:tc>
          <w:tcPr>
            <w:tcW w:type="dxa" w:w="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00000">
            <w:pPr>
              <w:spacing w:line="276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type="dxa" w:w="71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extDirection w:val="btLr"/>
          </w:tcPr>
          <w:p/>
        </w:tc>
        <w:tc>
          <w:tcPr>
            <w:tcW w:type="dxa" w:w="170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00000">
            <w:pPr>
              <w:spacing w:line="276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Формирование целостной картины мира. Ребенок и </w:t>
            </w:r>
            <w:r>
              <w:rPr>
                <w:sz w:val="24"/>
              </w:rPr>
              <w:t>окр</w:t>
            </w:r>
            <w:r>
              <w:rPr>
                <w:sz w:val="24"/>
              </w:rPr>
              <w:t>.м</w:t>
            </w:r>
            <w:r>
              <w:rPr>
                <w:sz w:val="24"/>
              </w:rPr>
              <w:t>ир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00000">
            <w:pPr>
              <w:spacing w:line="276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1\3</w:t>
            </w:r>
            <w:r>
              <w:rPr>
                <w:sz w:val="24"/>
              </w:rPr>
              <w:t>6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00000">
            <w:pPr>
              <w:spacing w:line="276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 xml:space="preserve"> 1\3</w:t>
            </w:r>
            <w:r>
              <w:rPr>
                <w:sz w:val="24"/>
              </w:rPr>
              <w:t>6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00000">
            <w:pPr>
              <w:spacing w:line="276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1\3</w:t>
            </w:r>
            <w:r>
              <w:rPr>
                <w:sz w:val="24"/>
              </w:rPr>
              <w:t>6</w:t>
            </w:r>
          </w:p>
        </w:tc>
        <w:tc>
          <w:tcPr>
            <w:tcW w:type="dxa" w:w="11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00000">
            <w:pPr>
              <w:spacing w:line="276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1\3</w:t>
            </w:r>
            <w:r>
              <w:rPr>
                <w:sz w:val="24"/>
              </w:rPr>
              <w:t>6</w:t>
            </w:r>
          </w:p>
        </w:tc>
        <w:tc>
          <w:tcPr>
            <w:tcW w:type="dxa" w:w="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00000"/>
        </w:tc>
      </w:tr>
      <w:tr>
        <w:trPr>
          <w:trHeight w:hRule="atLeast" w:val="500"/>
        </w:trPr>
        <w:tc>
          <w:tcPr>
            <w:tcW w:type="dxa" w:w="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00000">
            <w:pPr>
              <w:spacing w:line="276" w:lineRule="auto"/>
              <w:ind/>
              <w:jc w:val="both"/>
              <w:rPr>
                <w:sz w:val="24"/>
              </w:rPr>
            </w:pPr>
          </w:p>
          <w:p w14:paraId="4F000000">
            <w:pPr>
              <w:spacing w:line="276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type="dxa" w:w="241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00000">
            <w:pPr>
              <w:spacing w:line="276" w:lineRule="auto"/>
              <w:ind/>
              <w:jc w:val="both"/>
              <w:rPr>
                <w:sz w:val="24"/>
              </w:rPr>
            </w:pPr>
            <w:r>
              <w:rPr>
                <w:b w:val="1"/>
                <w:i w:val="1"/>
                <w:sz w:val="24"/>
              </w:rPr>
              <w:t>Социально-коммуникативноеразвитие</w:t>
            </w:r>
            <w:r>
              <w:rPr>
                <w:sz w:val="24"/>
              </w:rPr>
              <w:t>. Коммуникация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00000">
            <w:pPr>
              <w:spacing w:line="276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1\3</w:t>
            </w:r>
            <w:r>
              <w:rPr>
                <w:sz w:val="24"/>
              </w:rPr>
              <w:t>6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00000">
            <w:pPr>
              <w:spacing w:line="276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 xml:space="preserve">  1\3</w:t>
            </w:r>
            <w:r>
              <w:rPr>
                <w:sz w:val="24"/>
              </w:rPr>
              <w:t>6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00000">
            <w:pPr>
              <w:spacing w:line="276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</w:rPr>
              <w:t>\</w:t>
            </w:r>
            <w:r>
              <w:rPr>
                <w:sz w:val="24"/>
              </w:rPr>
              <w:t>72</w:t>
            </w:r>
          </w:p>
        </w:tc>
        <w:tc>
          <w:tcPr>
            <w:tcW w:type="dxa" w:w="11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00000">
            <w:pPr>
              <w:spacing w:line="276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2\7</w:t>
            </w:r>
            <w:r>
              <w:rPr>
                <w:sz w:val="24"/>
              </w:rPr>
              <w:t>2</w:t>
            </w:r>
          </w:p>
        </w:tc>
        <w:tc>
          <w:tcPr>
            <w:tcW w:type="dxa" w:w="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00000"/>
        </w:tc>
      </w:tr>
      <w:tr>
        <w:trPr>
          <w:trHeight w:hRule="atLeast" w:val="580"/>
        </w:trPr>
        <w:tc>
          <w:tcPr>
            <w:tcW w:type="dxa" w:w="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00000">
            <w:pPr>
              <w:spacing w:line="276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1.5.</w:t>
            </w:r>
          </w:p>
        </w:tc>
        <w:tc>
          <w:tcPr>
            <w:tcW w:type="dxa" w:w="241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00000">
            <w:pPr>
              <w:spacing w:line="276" w:lineRule="auto"/>
              <w:ind/>
              <w:jc w:val="both"/>
              <w:rPr>
                <w:sz w:val="24"/>
              </w:rPr>
            </w:pPr>
            <w:r>
              <w:rPr>
                <w:b w:val="1"/>
                <w:i w:val="1"/>
                <w:sz w:val="24"/>
              </w:rPr>
              <w:t>Речевое развитие</w:t>
            </w:r>
            <w:r>
              <w:rPr>
                <w:sz w:val="24"/>
              </w:rPr>
              <w:t>. Чтение художественной литературы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00000">
            <w:pPr>
              <w:spacing w:line="276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1\3</w:t>
            </w:r>
            <w:r>
              <w:rPr>
                <w:sz w:val="24"/>
              </w:rPr>
              <w:t>6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00000">
            <w:pPr>
              <w:spacing w:line="276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1/36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00000">
            <w:pPr>
              <w:spacing w:line="276" w:lineRule="auto"/>
              <w:ind/>
              <w:rPr>
                <w:sz w:val="24"/>
              </w:rPr>
            </w:pPr>
            <w:r>
              <w:rPr>
                <w:sz w:val="24"/>
              </w:rPr>
              <w:t>2/72</w:t>
            </w:r>
          </w:p>
        </w:tc>
        <w:tc>
          <w:tcPr>
            <w:tcW w:type="dxa" w:w="11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00000">
            <w:pPr>
              <w:spacing w:line="276" w:lineRule="auto"/>
              <w:ind/>
              <w:rPr>
                <w:sz w:val="24"/>
              </w:rPr>
            </w:pPr>
            <w:r>
              <w:rPr>
                <w:sz w:val="24"/>
              </w:rPr>
              <w:t xml:space="preserve"> -</w:t>
            </w:r>
          </w:p>
        </w:tc>
        <w:tc>
          <w:tcPr>
            <w:tcW w:type="dxa" w:w="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00000"/>
        </w:tc>
      </w:tr>
      <w:tr>
        <w:trPr>
          <w:trHeight w:hRule="atLeast" w:val="342"/>
        </w:trPr>
        <w:tc>
          <w:tcPr>
            <w:tcW w:type="dxa" w:w="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00000">
            <w:pPr>
              <w:spacing w:line="276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1.6.</w:t>
            </w:r>
          </w:p>
        </w:tc>
        <w:tc>
          <w:tcPr>
            <w:tcW w:type="dxa" w:w="858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extDirection w:val="btLr"/>
          </w:tcPr>
          <w:p w14:paraId="5E000000">
            <w:pPr>
              <w:spacing w:line="276" w:lineRule="auto"/>
              <w:ind w:firstLine="0" w:left="113" w:right="113"/>
              <w:jc w:val="both"/>
              <w:rPr>
                <w:sz w:val="24"/>
              </w:rPr>
            </w:pPr>
            <w:r>
              <w:rPr>
                <w:b w:val="1"/>
                <w:i w:val="1"/>
                <w:sz w:val="24"/>
              </w:rPr>
              <w:t>Художжественно-эстетическое</w:t>
            </w:r>
            <w:r>
              <w:rPr>
                <w:b w:val="1"/>
                <w:i w:val="1"/>
                <w:sz w:val="24"/>
              </w:rPr>
              <w:t xml:space="preserve"> развитие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00000">
            <w:pPr>
              <w:spacing w:line="276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Рисование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00000">
            <w:pPr>
              <w:spacing w:line="276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1\3</w:t>
            </w:r>
            <w:r>
              <w:rPr>
                <w:sz w:val="24"/>
              </w:rPr>
              <w:t>6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00000">
            <w:pPr>
              <w:spacing w:line="276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1\3</w:t>
            </w:r>
            <w:r>
              <w:rPr>
                <w:sz w:val="24"/>
              </w:rPr>
              <w:t>6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00000">
            <w:pPr>
              <w:spacing w:line="276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 xml:space="preserve"> \</w:t>
            </w:r>
            <w:r>
              <w:rPr>
                <w:sz w:val="24"/>
              </w:rPr>
              <w:t>3</w:t>
            </w:r>
            <w:r>
              <w:rPr>
                <w:sz w:val="24"/>
              </w:rPr>
              <w:t>6</w:t>
            </w:r>
          </w:p>
        </w:tc>
        <w:tc>
          <w:tcPr>
            <w:tcW w:type="dxa" w:w="11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00000">
            <w:pPr>
              <w:spacing w:line="276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 xml:space="preserve"> 1 \3</w:t>
            </w:r>
            <w:r>
              <w:rPr>
                <w:sz w:val="24"/>
              </w:rPr>
              <w:t>6</w:t>
            </w:r>
          </w:p>
        </w:tc>
        <w:tc>
          <w:tcPr>
            <w:tcW w:type="dxa" w:w="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00000"/>
        </w:tc>
      </w:tr>
      <w:tr>
        <w:trPr>
          <w:trHeight w:hRule="atLeast" w:val="607"/>
        </w:trPr>
        <w:tc>
          <w:tcPr>
            <w:tcW w:type="dxa" w:w="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00000">
            <w:pPr>
              <w:spacing w:line="276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1.7.</w:t>
            </w:r>
          </w:p>
        </w:tc>
        <w:tc>
          <w:tcPr>
            <w:tcW w:type="dxa" w:w="858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extDirection w:val="btLr"/>
          </w:tcPr>
          <w:p/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00000">
            <w:pPr>
              <w:spacing w:line="276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Лепка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00000">
            <w:pPr>
              <w:spacing w:line="276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1/36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00000">
            <w:pPr>
              <w:spacing w:line="276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0,5\1</w:t>
            </w:r>
            <w:r>
              <w:rPr>
                <w:sz w:val="24"/>
              </w:rPr>
              <w:t>8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00000">
            <w:pPr>
              <w:spacing w:line="276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0,5\1</w:t>
            </w:r>
            <w:r>
              <w:rPr>
                <w:sz w:val="24"/>
              </w:rPr>
              <w:t>6</w:t>
            </w:r>
          </w:p>
        </w:tc>
        <w:tc>
          <w:tcPr>
            <w:tcW w:type="dxa" w:w="11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00000">
            <w:pPr>
              <w:spacing w:line="276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0,5\1</w:t>
            </w:r>
            <w:r>
              <w:rPr>
                <w:sz w:val="24"/>
              </w:rPr>
              <w:t>6</w:t>
            </w:r>
          </w:p>
        </w:tc>
        <w:tc>
          <w:tcPr>
            <w:tcW w:type="dxa" w:w="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00000"/>
        </w:tc>
      </w:tr>
      <w:tr>
        <w:trPr>
          <w:trHeight w:hRule="atLeast" w:val="746"/>
        </w:trPr>
        <w:tc>
          <w:tcPr>
            <w:tcW w:type="dxa" w:w="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00000">
            <w:pPr>
              <w:spacing w:line="276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1.8.</w:t>
            </w:r>
          </w:p>
        </w:tc>
        <w:tc>
          <w:tcPr>
            <w:tcW w:type="dxa" w:w="858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extDirection w:val="btLr"/>
          </w:tcPr>
          <w:p/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00000">
            <w:pPr>
              <w:spacing w:line="276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Аппликация 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00000">
            <w:pPr>
              <w:spacing w:line="276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00000">
            <w:pPr>
              <w:spacing w:line="276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0,5\1</w:t>
            </w:r>
            <w:r>
              <w:rPr>
                <w:sz w:val="24"/>
              </w:rPr>
              <w:t>8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00000">
            <w:pPr>
              <w:spacing w:line="276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0,5\19</w:t>
            </w:r>
          </w:p>
          <w:p w14:paraId="71000000">
            <w:pPr>
              <w:spacing w:line="276" w:lineRule="auto"/>
              <w:ind/>
              <w:jc w:val="both"/>
              <w:rPr>
                <w:sz w:val="24"/>
              </w:rPr>
            </w:pPr>
          </w:p>
        </w:tc>
        <w:tc>
          <w:tcPr>
            <w:tcW w:type="dxa" w:w="11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00000">
            <w:pPr>
              <w:spacing w:line="276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0,5\1</w:t>
            </w:r>
            <w:r>
              <w:rPr>
                <w:sz w:val="24"/>
              </w:rPr>
              <w:t>9</w:t>
            </w:r>
          </w:p>
        </w:tc>
        <w:tc>
          <w:tcPr>
            <w:tcW w:type="dxa" w:w="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00000"/>
        </w:tc>
      </w:tr>
      <w:tr>
        <w:trPr>
          <w:trHeight w:hRule="atLeast" w:val="469"/>
        </w:trPr>
        <w:tc>
          <w:tcPr>
            <w:tcW w:type="dxa" w:w="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00000">
            <w:pPr>
              <w:spacing w:line="276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1.9.</w:t>
            </w:r>
          </w:p>
        </w:tc>
        <w:tc>
          <w:tcPr>
            <w:tcW w:type="dxa" w:w="241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00000">
            <w:pPr>
              <w:spacing w:line="276" w:lineRule="auto"/>
              <w:ind/>
              <w:jc w:val="both"/>
              <w:rPr>
                <w:sz w:val="24"/>
              </w:rPr>
            </w:pPr>
            <w:r>
              <w:rPr>
                <w:b w:val="1"/>
                <w:i w:val="1"/>
                <w:sz w:val="24"/>
              </w:rPr>
              <w:t>Физическое развитие</w:t>
            </w:r>
            <w:r>
              <w:rPr>
                <w:sz w:val="24"/>
              </w:rPr>
              <w:t>. Физическая культура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00000">
            <w:pPr>
              <w:spacing w:line="276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3\10</w:t>
            </w:r>
            <w:r>
              <w:rPr>
                <w:sz w:val="24"/>
              </w:rPr>
              <w:t>8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00000">
            <w:pPr>
              <w:spacing w:line="276" w:lineRule="auto"/>
              <w:ind/>
            </w:pPr>
            <w:r>
              <w:rPr>
                <w:sz w:val="24"/>
              </w:rPr>
              <w:t xml:space="preserve">      3\10</w:t>
            </w:r>
            <w:r>
              <w:rPr>
                <w:sz w:val="24"/>
              </w:rPr>
              <w:t>8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00000">
            <w:pPr>
              <w:spacing w:line="276" w:lineRule="auto"/>
              <w:ind/>
            </w:pPr>
            <w:r>
              <w:rPr>
                <w:sz w:val="24"/>
              </w:rPr>
              <w:t>3\10</w:t>
            </w:r>
            <w:r>
              <w:rPr>
                <w:sz w:val="24"/>
              </w:rPr>
              <w:t>8</w:t>
            </w:r>
          </w:p>
        </w:tc>
        <w:tc>
          <w:tcPr>
            <w:tcW w:type="dxa" w:w="11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00000">
            <w:pPr>
              <w:spacing w:line="276" w:lineRule="auto"/>
              <w:ind/>
            </w:pPr>
            <w:r>
              <w:rPr>
                <w:sz w:val="24"/>
              </w:rPr>
              <w:t>3\10</w:t>
            </w:r>
            <w:r>
              <w:rPr>
                <w:sz w:val="24"/>
              </w:rPr>
              <w:t>8</w:t>
            </w:r>
          </w:p>
        </w:tc>
        <w:tc>
          <w:tcPr>
            <w:tcW w:type="dxa" w:w="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00000"/>
        </w:tc>
      </w:tr>
      <w:tr>
        <w:trPr>
          <w:trHeight w:hRule="atLeast" w:val="321"/>
        </w:trPr>
        <w:tc>
          <w:tcPr>
            <w:tcW w:type="dxa" w:w="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00000">
            <w:pPr>
              <w:spacing w:line="276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 xml:space="preserve">1.10 </w:t>
            </w:r>
          </w:p>
        </w:tc>
        <w:tc>
          <w:tcPr>
            <w:tcW w:type="dxa" w:w="241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00000">
            <w:pPr>
              <w:spacing w:line="276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00000">
            <w:pPr>
              <w:spacing w:line="276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2\7</w:t>
            </w:r>
            <w:r>
              <w:rPr>
                <w:sz w:val="24"/>
              </w:rPr>
              <w:t>2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00000">
            <w:pPr>
              <w:spacing w:line="276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2\7</w:t>
            </w:r>
            <w:r>
              <w:rPr>
                <w:sz w:val="24"/>
              </w:rPr>
              <w:t>2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00000">
            <w:pPr>
              <w:spacing w:line="276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2\7</w:t>
            </w:r>
            <w:r>
              <w:rPr>
                <w:sz w:val="24"/>
              </w:rPr>
              <w:t>2</w:t>
            </w:r>
          </w:p>
        </w:tc>
        <w:tc>
          <w:tcPr>
            <w:tcW w:type="dxa" w:w="11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00000">
            <w:pPr>
              <w:spacing w:line="276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2\7</w:t>
            </w:r>
            <w:r>
              <w:rPr>
                <w:sz w:val="24"/>
              </w:rPr>
              <w:t>2</w:t>
            </w:r>
          </w:p>
        </w:tc>
        <w:tc>
          <w:tcPr>
            <w:tcW w:type="dxa" w:w="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00000"/>
        </w:tc>
      </w:tr>
      <w:tr>
        <w:trPr>
          <w:trHeight w:hRule="atLeast" w:val="213"/>
        </w:trPr>
        <w:tc>
          <w:tcPr>
            <w:tcW w:type="dxa" w:w="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00000">
            <w:pPr>
              <w:spacing w:line="276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type="dxa" w:w="241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00000">
            <w:pPr>
              <w:spacing w:line="276" w:lineRule="auto"/>
              <w:ind/>
              <w:jc w:val="both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Вариативная часть </w:t>
            </w:r>
          </w:p>
          <w:p w14:paraId="84000000">
            <w:pPr>
              <w:spacing w:line="276" w:lineRule="auto"/>
              <w:ind/>
              <w:jc w:val="both"/>
              <w:rPr>
                <w:sz w:val="24"/>
              </w:rPr>
            </w:pPr>
            <w:r>
              <w:rPr>
                <w:b w:val="1"/>
                <w:sz w:val="24"/>
              </w:rPr>
              <w:t>/национально-региональный компонент/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000000">
            <w:pPr>
              <w:spacing w:line="276" w:lineRule="auto"/>
              <w:ind/>
              <w:jc w:val="both"/>
              <w:rPr>
                <w:sz w:val="24"/>
              </w:rPr>
            </w:pP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000000">
            <w:pPr>
              <w:spacing w:line="276" w:lineRule="auto"/>
              <w:ind/>
              <w:jc w:val="both"/>
              <w:rPr>
                <w:sz w:val="24"/>
              </w:rPr>
            </w:pP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000000">
            <w:pPr>
              <w:spacing w:line="276" w:lineRule="auto"/>
              <w:ind/>
              <w:jc w:val="both"/>
              <w:rPr>
                <w:sz w:val="24"/>
              </w:rPr>
            </w:pPr>
          </w:p>
        </w:tc>
        <w:tc>
          <w:tcPr>
            <w:tcW w:type="dxa" w:w="11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00000">
            <w:pPr>
              <w:spacing w:line="276" w:lineRule="auto"/>
              <w:ind/>
              <w:jc w:val="both"/>
              <w:rPr>
                <w:sz w:val="24"/>
              </w:rPr>
            </w:pPr>
          </w:p>
          <w:p w14:paraId="89000000">
            <w:pPr>
              <w:spacing w:line="276" w:lineRule="auto"/>
              <w:ind/>
              <w:jc w:val="both"/>
              <w:rPr>
                <w:sz w:val="24"/>
              </w:rPr>
            </w:pPr>
          </w:p>
        </w:tc>
        <w:tc>
          <w:tcPr>
            <w:tcW w:type="dxa" w:w="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00000"/>
        </w:tc>
      </w:tr>
      <w:tr>
        <w:trPr>
          <w:trHeight w:hRule="atLeast" w:val="960"/>
        </w:trPr>
        <w:tc>
          <w:tcPr>
            <w:tcW w:type="dxa" w:w="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00000">
            <w:pPr>
              <w:spacing w:line="276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type="dxa" w:w="241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000000">
            <w:pPr>
              <w:spacing w:line="276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Обучение русскому языку 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000000">
            <w:pPr>
              <w:spacing w:line="276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00000">
            <w:pPr>
              <w:spacing w:line="276" w:lineRule="auto"/>
              <w:ind/>
              <w:rPr>
                <w:sz w:val="24"/>
              </w:rPr>
            </w:pPr>
            <w:r>
              <w:rPr>
                <w:sz w:val="24"/>
              </w:rPr>
              <w:t>3/108</w:t>
            </w:r>
          </w:p>
          <w:p w14:paraId="8F000000">
            <w:pPr>
              <w:spacing w:line="276" w:lineRule="auto"/>
              <w:ind/>
              <w:jc w:val="center"/>
              <w:rPr>
                <w:sz w:val="24"/>
              </w:rPr>
            </w:pPr>
          </w:p>
          <w:p w14:paraId="90000000">
            <w:pPr>
              <w:spacing w:line="276" w:lineRule="auto"/>
              <w:ind/>
              <w:jc w:val="center"/>
              <w:rPr>
                <w:sz w:val="24"/>
              </w:rPr>
            </w:pP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1000000">
            <w:pPr>
              <w:spacing w:line="276" w:lineRule="auto"/>
              <w:ind/>
              <w:rPr>
                <w:sz w:val="24"/>
              </w:rPr>
            </w:pPr>
            <w:r>
              <w:rPr>
                <w:sz w:val="24"/>
              </w:rPr>
              <w:t>3\108</w:t>
            </w:r>
          </w:p>
          <w:p w14:paraId="92000000">
            <w:pPr>
              <w:spacing w:line="276" w:lineRule="auto"/>
              <w:ind/>
              <w:rPr>
                <w:sz w:val="24"/>
              </w:rPr>
            </w:pPr>
          </w:p>
          <w:p w14:paraId="93000000">
            <w:pPr>
              <w:spacing w:line="276" w:lineRule="auto"/>
              <w:ind/>
              <w:jc w:val="center"/>
              <w:rPr>
                <w:sz w:val="24"/>
              </w:rPr>
            </w:pPr>
          </w:p>
          <w:p w14:paraId="94000000">
            <w:pPr>
              <w:spacing w:line="276" w:lineRule="auto"/>
              <w:ind/>
              <w:jc w:val="center"/>
              <w:rPr>
                <w:sz w:val="24"/>
              </w:rPr>
            </w:pPr>
          </w:p>
        </w:tc>
        <w:tc>
          <w:tcPr>
            <w:tcW w:type="dxa" w:w="11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00000">
            <w:pPr>
              <w:spacing w:line="276" w:lineRule="auto"/>
              <w:ind/>
              <w:rPr>
                <w:sz w:val="24"/>
              </w:rPr>
            </w:pPr>
            <w:r>
              <w:rPr>
                <w:sz w:val="24"/>
              </w:rPr>
              <w:t>3\10</w:t>
            </w:r>
            <w:r>
              <w:rPr>
                <w:sz w:val="24"/>
              </w:rPr>
              <w:t>8</w:t>
            </w:r>
          </w:p>
          <w:p w14:paraId="96000000">
            <w:pPr>
              <w:spacing w:line="276" w:lineRule="auto"/>
              <w:ind/>
              <w:jc w:val="center"/>
              <w:rPr>
                <w:sz w:val="24"/>
              </w:rPr>
            </w:pPr>
          </w:p>
        </w:tc>
        <w:tc>
          <w:tcPr>
            <w:tcW w:type="dxa" w:w="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000000"/>
        </w:tc>
      </w:tr>
      <w:tr>
        <w:trPr>
          <w:trHeight w:hRule="atLeast" w:val="558"/>
        </w:trPr>
        <w:tc>
          <w:tcPr>
            <w:tcW w:type="dxa" w:w="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000000">
            <w:pPr>
              <w:spacing w:line="276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type="dxa" w:w="241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00000">
            <w:pPr>
              <w:spacing w:line="276" w:lineRule="auto"/>
              <w:ind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Итого (по Сан </w:t>
            </w:r>
            <w:r>
              <w:rPr>
                <w:sz w:val="24"/>
              </w:rPr>
              <w:t>Пин</w:t>
            </w:r>
            <w:r>
              <w:rPr>
                <w:sz w:val="24"/>
              </w:rPr>
              <w:t>)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000000">
            <w:pPr>
              <w:spacing w:line="276" w:lineRule="auto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10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000000">
            <w:pPr>
              <w:spacing w:line="276" w:lineRule="auto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10</w:t>
            </w:r>
          </w:p>
          <w:p w14:paraId="9C000000">
            <w:pPr>
              <w:spacing w:line="276" w:lineRule="auto"/>
              <w:ind/>
              <w:jc w:val="center"/>
              <w:rPr>
                <w:b w:val="1"/>
                <w:sz w:val="24"/>
              </w:rPr>
            </w:pPr>
          </w:p>
          <w:p w14:paraId="9D000000">
            <w:pPr>
              <w:spacing w:line="276" w:lineRule="auto"/>
              <w:ind/>
              <w:jc w:val="center"/>
              <w:rPr>
                <w:b w:val="1"/>
                <w:sz w:val="24"/>
              </w:rPr>
            </w:pPr>
          </w:p>
          <w:p w14:paraId="9E000000">
            <w:pPr>
              <w:spacing w:line="276" w:lineRule="auto"/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00000">
            <w:pPr>
              <w:spacing w:line="276" w:lineRule="auto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13</w:t>
            </w:r>
          </w:p>
          <w:p w14:paraId="A0000000">
            <w:pPr>
              <w:spacing w:line="276" w:lineRule="auto"/>
              <w:ind/>
              <w:jc w:val="center"/>
              <w:rPr>
                <w:b w:val="1"/>
                <w:sz w:val="24"/>
              </w:rPr>
            </w:pPr>
          </w:p>
          <w:p w14:paraId="A1000000">
            <w:pPr>
              <w:spacing w:line="276" w:lineRule="auto"/>
              <w:ind/>
              <w:jc w:val="center"/>
              <w:rPr>
                <w:b w:val="1"/>
                <w:sz w:val="24"/>
              </w:rPr>
            </w:pPr>
          </w:p>
          <w:p w14:paraId="A2000000">
            <w:pPr>
              <w:spacing w:line="276" w:lineRule="auto"/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11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000000">
            <w:pPr>
              <w:spacing w:line="276" w:lineRule="auto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15</w:t>
            </w:r>
          </w:p>
        </w:tc>
        <w:tc>
          <w:tcPr>
            <w:tcW w:type="dxa" w:w="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000000"/>
        </w:tc>
      </w:tr>
    </w:tbl>
    <w:p w14:paraId="A5000000">
      <w:pPr>
        <w:ind w:firstLine="709"/>
        <w:jc w:val="both"/>
        <w:rPr>
          <w:sz w:val="24"/>
        </w:rPr>
      </w:pPr>
    </w:p>
    <w:p w14:paraId="A6000000">
      <w:pPr>
        <w:rPr>
          <w:b w:val="1"/>
          <w:sz w:val="24"/>
        </w:rPr>
      </w:pPr>
      <w:r>
        <w:rPr>
          <w:b w:val="1"/>
          <w:sz w:val="24"/>
        </w:rPr>
        <w:t>Объем недельной образовательной нагрузки на ребенка</w:t>
      </w:r>
    </w:p>
    <w:p w14:paraId="A7000000">
      <w:pPr>
        <w:rPr>
          <w:sz w:val="24"/>
        </w:rPr>
      </w:pPr>
    </w:p>
    <w:tbl>
      <w:tblPr>
        <w:tblStyle w:val="Style_1"/>
        <w:tblInd w:type="dxa" w:w="-34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2643"/>
        <w:gridCol w:w="1228"/>
        <w:gridCol w:w="1241"/>
        <w:gridCol w:w="1188"/>
        <w:gridCol w:w="1276"/>
      </w:tblGrid>
      <w:tr>
        <w:trPr>
          <w:trHeight w:hRule="atLeast" w:val="1131"/>
        </w:trPr>
        <w:tc>
          <w:tcPr>
            <w:tcW w:type="dxa" w:w="26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00000">
            <w:pPr>
              <w:spacing w:line="276" w:lineRule="auto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Возраст       детей</w:t>
            </w:r>
          </w:p>
          <w:p w14:paraId="A9000000">
            <w:pPr>
              <w:spacing w:line="276" w:lineRule="auto"/>
              <w:ind/>
              <w:jc w:val="center"/>
              <w:rPr>
                <w:b w:val="1"/>
                <w:sz w:val="24"/>
              </w:rPr>
            </w:pPr>
          </w:p>
          <w:p w14:paraId="AA000000">
            <w:pPr>
              <w:spacing w:line="276" w:lineRule="auto"/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12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000000">
            <w:pPr>
              <w:spacing w:line="276" w:lineRule="auto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 2-3</w:t>
            </w:r>
          </w:p>
          <w:p w14:paraId="AC000000">
            <w:pPr>
              <w:spacing w:line="276" w:lineRule="auto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года</w:t>
            </w:r>
          </w:p>
        </w:tc>
        <w:tc>
          <w:tcPr>
            <w:tcW w:type="dxa" w:w="12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00000">
            <w:pPr>
              <w:spacing w:line="276" w:lineRule="auto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 4</w:t>
            </w:r>
            <w:r>
              <w:rPr>
                <w:b w:val="1"/>
                <w:sz w:val="24"/>
              </w:rPr>
              <w:t>-5</w:t>
            </w:r>
          </w:p>
          <w:p w14:paraId="AE000000">
            <w:pPr>
              <w:spacing w:line="276" w:lineRule="auto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года</w:t>
            </w:r>
          </w:p>
        </w:tc>
        <w:tc>
          <w:tcPr>
            <w:tcW w:type="dxa" w:w="11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00000">
            <w:pPr>
              <w:spacing w:line="276" w:lineRule="auto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5</w:t>
            </w:r>
            <w:r>
              <w:rPr>
                <w:b w:val="1"/>
                <w:sz w:val="24"/>
              </w:rPr>
              <w:t>-6</w:t>
            </w:r>
          </w:p>
          <w:p w14:paraId="B0000000">
            <w:pPr>
              <w:spacing w:line="276" w:lineRule="auto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Л</w:t>
            </w:r>
            <w:r>
              <w:rPr>
                <w:b w:val="1"/>
                <w:sz w:val="24"/>
              </w:rPr>
              <w:t>ет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00000">
            <w:pPr>
              <w:spacing w:line="276" w:lineRule="auto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6 – 7</w:t>
            </w:r>
          </w:p>
          <w:p w14:paraId="B2000000">
            <w:pPr>
              <w:spacing w:line="276" w:lineRule="auto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лет</w:t>
            </w:r>
          </w:p>
        </w:tc>
      </w:tr>
      <w:tr>
        <w:trPr>
          <w:trHeight w:hRule="atLeast" w:val="839"/>
        </w:trPr>
        <w:tc>
          <w:tcPr>
            <w:tcW w:type="dxa" w:w="26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3000000">
            <w:pPr>
              <w:spacing w:line="276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Продолжительность   образовательной деятельности</w:t>
            </w:r>
          </w:p>
        </w:tc>
        <w:tc>
          <w:tcPr>
            <w:tcW w:type="dxa" w:w="12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00000">
            <w:pPr>
              <w:spacing w:line="276" w:lineRule="auto"/>
              <w:ind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z w:val="24"/>
              </w:rPr>
              <w:t>мин</w:t>
            </w:r>
          </w:p>
        </w:tc>
        <w:tc>
          <w:tcPr>
            <w:tcW w:type="dxa" w:w="12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00000">
            <w:pPr>
              <w:spacing w:line="276" w:lineRule="auto"/>
              <w:ind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z w:val="24"/>
              </w:rPr>
              <w:t xml:space="preserve"> мин</w:t>
            </w:r>
          </w:p>
        </w:tc>
        <w:tc>
          <w:tcPr>
            <w:tcW w:type="dxa" w:w="11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000000">
            <w:pPr>
              <w:spacing w:line="276" w:lineRule="auto"/>
              <w:ind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z w:val="24"/>
              </w:rPr>
              <w:t>мин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00000">
            <w:pPr>
              <w:spacing w:line="276" w:lineRule="auto"/>
              <w:ind/>
              <w:rPr>
                <w:sz w:val="24"/>
              </w:rPr>
            </w:pPr>
            <w:r>
              <w:rPr>
                <w:sz w:val="24"/>
              </w:rPr>
              <w:t>30 мин</w:t>
            </w:r>
          </w:p>
        </w:tc>
      </w:tr>
      <w:tr>
        <w:trPr>
          <w:trHeight w:hRule="atLeast" w:val="1131"/>
        </w:trPr>
        <w:tc>
          <w:tcPr>
            <w:tcW w:type="dxa" w:w="26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8000000">
            <w:pPr>
              <w:spacing w:line="276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Объем недельной образовательной нагрузки</w:t>
            </w:r>
          </w:p>
        </w:tc>
        <w:tc>
          <w:tcPr>
            <w:tcW w:type="dxa" w:w="12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000000">
            <w:pPr>
              <w:spacing w:line="276" w:lineRule="auto"/>
              <w:ind/>
              <w:rPr>
                <w:sz w:val="24"/>
              </w:rPr>
            </w:pPr>
            <w:r>
              <w:rPr>
                <w:sz w:val="24"/>
              </w:rPr>
              <w:t>1ч.4</w:t>
            </w:r>
            <w:bookmarkStart w:id="1" w:name="_GoBack"/>
            <w:bookmarkEnd w:id="1"/>
            <w:r>
              <w:rPr>
                <w:sz w:val="24"/>
              </w:rPr>
              <w:t>0мин.</w:t>
            </w:r>
          </w:p>
        </w:tc>
        <w:tc>
          <w:tcPr>
            <w:tcW w:type="dxa" w:w="12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00000">
            <w:pPr>
              <w:spacing w:line="276" w:lineRule="auto"/>
              <w:ind/>
              <w:rPr>
                <w:sz w:val="24"/>
              </w:rPr>
            </w:pPr>
            <w:r>
              <w:rPr>
                <w:sz w:val="24"/>
              </w:rPr>
              <w:t>3ч. 2</w:t>
            </w:r>
            <w:r>
              <w:rPr>
                <w:sz w:val="24"/>
              </w:rPr>
              <w:t>0мин</w:t>
            </w:r>
          </w:p>
        </w:tc>
        <w:tc>
          <w:tcPr>
            <w:tcW w:type="dxa" w:w="11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000000">
            <w:pPr>
              <w:spacing w:line="276" w:lineRule="auto"/>
              <w:ind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z w:val="24"/>
              </w:rPr>
              <w:t xml:space="preserve"> ч. 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000000">
            <w:pPr>
              <w:spacing w:line="276" w:lineRule="auto"/>
              <w:ind/>
              <w:rPr>
                <w:sz w:val="24"/>
              </w:rPr>
            </w:pPr>
            <w:r>
              <w:rPr>
                <w:sz w:val="24"/>
              </w:rPr>
              <w:t xml:space="preserve">7 ч.30мин </w:t>
            </w:r>
          </w:p>
        </w:tc>
      </w:tr>
    </w:tbl>
    <w:p w14:paraId="BD000000">
      <w:pPr>
        <w:tabs>
          <w:tab w:leader="none" w:pos="4800" w:val="left"/>
        </w:tabs>
        <w:ind/>
      </w:pPr>
    </w:p>
    <w:p w14:paraId="BE000000"/>
    <w:sectPr>
      <w:pgSz w:h="16838" w:orient="portrait" w:w="11906"/>
      <w:pgMar w:bottom="1134" w:footer="708" w:gutter="0" w:header="708" w:left="1701" w:right="850" w:top="28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abstractNum w:abstractNumId="0">
    <w:lvl w:ilvl="0">
      <w:start w:val="1"/>
      <w:numFmt w:val="decimal"/>
      <w:lvlText w:val="%1."/>
      <w:lvlJc w:val="left"/>
      <w:pPr>
        <w:ind w:hanging="360" w:left="1080"/>
      </w:p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36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36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36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36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36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36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36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360" w:left="6480"/>
      </w:pPr>
    </w:lvl>
  </w:abstractNum>
  <w:abstractNum w:abstractNumId="1">
    <w:lvl w:ilvl="0">
      <w:start w:val="1"/>
      <w:numFmt w:val="bullet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36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36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36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36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36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36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36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360" w:left="648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36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36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36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36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36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36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36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360" w:left="6480"/>
      </w:pPr>
    </w:lvl>
  </w:abstractNum>
  <w:abstractNum w:abstractNumId="3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36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36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36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36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36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36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36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360" w:left="6480"/>
      </w:pPr>
    </w:lvl>
  </w:abstractNum>
  <w:abstractNum w:abstractNumId="4">
    <w:lvl w:ilvl="0">
      <w:start w:val="1"/>
      <w:numFmt w:val="bullet"/>
      <w:lvlText w:val=""/>
      <w:lvlJc w:val="left"/>
      <w:pPr>
        <w:ind w:hanging="360" w:left="144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36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36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36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36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36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36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36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360" w:left="6480"/>
      </w:pPr>
    </w:lvl>
  </w:abstractNum>
  <w:abstractNum w:abstractNumId="5">
    <w:lvl w:ilvl="0">
      <w:start w:val="1"/>
      <w:numFmt w:val="bullet"/>
      <w:lvlText w:val=""/>
      <w:lvlJc w:val="left"/>
      <w:pPr>
        <w:ind w:hanging="360" w:left="1429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36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36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36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36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36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36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36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360" w:left="6480"/>
      </w:pPr>
    </w:lvl>
  </w:abstractNum>
  <w:abstractNum w:abstractNumId="6">
    <w:lvl w:ilvl="0">
      <w:start w:val="1"/>
      <w:numFmt w:val="bullet"/>
      <w:lvlText w:val=""/>
      <w:lvlJc w:val="left"/>
      <w:pPr>
        <w:ind w:hanging="360" w:left="1429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36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36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36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36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36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36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36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360" w:left="64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spacing w:after="0" w:line="240" w:lineRule="auto"/>
      <w:ind/>
    </w:pPr>
    <w:rPr>
      <w:rFonts w:ascii="Times New Roman" w:hAnsi="Times New Roman"/>
      <w:sz w:val="20"/>
    </w:rPr>
  </w:style>
  <w:style w:default="1" w:styleId="Style_2_ch" w:type="character">
    <w:name w:val="Normal"/>
    <w:link w:val="Style_2"/>
    <w:rPr>
      <w:rFonts w:ascii="Times New Roman" w:hAnsi="Times New Roman"/>
      <w:sz w:val="20"/>
    </w:rPr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heading 3"/>
    <w:basedOn w:val="Style_2"/>
    <w:next w:val="Style_2"/>
    <w:link w:val="Style_7_ch"/>
    <w:uiPriority w:val="9"/>
    <w:qFormat/>
    <w:pPr>
      <w:keepNext w:val="1"/>
      <w:keepLines w:val="1"/>
      <w:spacing w:before="200"/>
      <w:ind/>
      <w:outlineLvl w:val="2"/>
    </w:pPr>
    <w:rPr>
      <w:rFonts w:asciiTheme="majorAscii" w:hAnsiTheme="majorHAnsi"/>
      <w:b w:val="1"/>
      <w:color w:themeColor="accent1" w:val="4F81BD"/>
    </w:rPr>
  </w:style>
  <w:style w:styleId="Style_7_ch" w:type="character">
    <w:name w:val="heading 3"/>
    <w:basedOn w:val="Style_2_ch"/>
    <w:link w:val="Style_7"/>
    <w:rPr>
      <w:rFonts w:asciiTheme="majorAscii" w:hAnsiTheme="majorHAnsi"/>
      <w:b w:val="1"/>
      <w:color w:themeColor="accent1" w:val="4F81BD"/>
    </w:rPr>
  </w:style>
  <w:style w:styleId="Style_8" w:type="paragraph">
    <w:name w:val="toc 3"/>
    <w:next w:val="Style_2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basedOn w:val="Style_2"/>
    <w:next w:val="Style_2"/>
    <w:link w:val="Style_9_ch"/>
    <w:uiPriority w:val="9"/>
    <w:qFormat/>
    <w:pPr>
      <w:keepNext w:val="1"/>
      <w:keepLines w:val="1"/>
      <w:spacing w:before="200"/>
      <w:ind/>
      <w:outlineLvl w:val="4"/>
    </w:pPr>
    <w:rPr>
      <w:rFonts w:asciiTheme="majorAscii" w:hAnsiTheme="majorHAnsi"/>
      <w:color w:themeColor="accent1" w:themeShade="7F" w:val="243F61"/>
    </w:rPr>
  </w:style>
  <w:style w:styleId="Style_9_ch" w:type="character">
    <w:name w:val="heading 5"/>
    <w:basedOn w:val="Style_2_ch"/>
    <w:link w:val="Style_9"/>
    <w:rPr>
      <w:rFonts w:asciiTheme="majorAscii" w:hAnsiTheme="majorHAnsi"/>
      <w:color w:themeColor="accent1" w:themeShade="7F" w:val="243F61"/>
    </w:rPr>
  </w:style>
  <w:style w:styleId="Style_10" w:type="paragraph">
    <w:name w:val="heading 1"/>
    <w:basedOn w:val="Style_2"/>
    <w:next w:val="Style_2"/>
    <w:link w:val="Style_10_ch"/>
    <w:uiPriority w:val="9"/>
    <w:qFormat/>
    <w:pPr>
      <w:keepNext w:val="1"/>
      <w:keepLines w:val="1"/>
      <w:spacing w:before="480"/>
      <w:ind/>
      <w:outlineLvl w:val="0"/>
    </w:pPr>
    <w:rPr>
      <w:rFonts w:asciiTheme="majorAscii" w:hAnsiTheme="majorHAnsi"/>
      <w:b w:val="1"/>
      <w:color w:themeColor="accent1" w:themeShade="BF" w:val="366091"/>
      <w:sz w:val="28"/>
    </w:rPr>
  </w:style>
  <w:style w:styleId="Style_10_ch" w:type="character">
    <w:name w:val="heading 1"/>
    <w:basedOn w:val="Style_2_ch"/>
    <w:link w:val="Style_10"/>
    <w:rPr>
      <w:rFonts w:asciiTheme="majorAscii" w:hAnsiTheme="majorHAnsi"/>
      <w:b w:val="1"/>
      <w:color w:themeColor="accent1" w:themeShade="BF" w:val="366091"/>
      <w:sz w:val="28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2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0"/>
    </w:rPr>
  </w:style>
  <w:style w:styleId="Style_14_ch" w:type="character">
    <w:name w:val="Header and Footer"/>
    <w:link w:val="Style_14"/>
    <w:rPr>
      <w:rFonts w:ascii="XO Thames" w:hAnsi="XO Thames"/>
      <w:sz w:val="20"/>
    </w:rPr>
  </w:style>
  <w:style w:styleId="Style_15" w:type="paragraph">
    <w:name w:val="Balloon Text"/>
    <w:basedOn w:val="Style_2"/>
    <w:link w:val="Style_15_ch"/>
    <w:rPr>
      <w:rFonts w:ascii="Tahoma" w:hAnsi="Tahoma"/>
      <w:sz w:val="16"/>
    </w:rPr>
  </w:style>
  <w:style w:styleId="Style_15_ch" w:type="character">
    <w:name w:val="Balloon Text"/>
    <w:basedOn w:val="Style_2_ch"/>
    <w:link w:val="Style_15"/>
    <w:rPr>
      <w:rFonts w:ascii="Tahoma" w:hAnsi="Tahoma"/>
      <w:sz w:val="16"/>
    </w:rPr>
  </w:style>
  <w:style w:styleId="Style_16" w:type="paragraph">
    <w:name w:val="toc 9"/>
    <w:next w:val="Style_2"/>
    <w:link w:val="Style_1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2"/>
    <w:link w:val="Style_1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2"/>
    <w:link w:val="Style_1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No Spacing"/>
    <w:link w:val="Style_19_ch"/>
    <w:pPr>
      <w:spacing w:after="0" w:line="240" w:lineRule="auto"/>
      <w:ind/>
    </w:pPr>
    <w:rPr>
      <w:rFonts w:ascii="Calibri" w:hAnsi="Calibri"/>
    </w:rPr>
  </w:style>
  <w:style w:styleId="Style_19_ch" w:type="character">
    <w:name w:val="No Spacing"/>
    <w:link w:val="Style_19"/>
    <w:rPr>
      <w:rFonts w:ascii="Calibri" w:hAnsi="Calibri"/>
    </w:rPr>
  </w:style>
  <w:style w:styleId="Style_20" w:type="paragraph">
    <w:name w:val="Subtitle"/>
    <w:next w:val="Style_2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oc 10"/>
    <w:next w:val="Style_2"/>
    <w:link w:val="Style_21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21_ch" w:type="character">
    <w:name w:val="toc 10"/>
    <w:link w:val="Style_21"/>
    <w:rPr>
      <w:rFonts w:ascii="XO Thames" w:hAnsi="XO Thames"/>
      <w:sz w:val="28"/>
    </w:rPr>
  </w:style>
  <w:style w:styleId="Style_22" w:type="paragraph">
    <w:name w:val="Title"/>
    <w:next w:val="Style_2"/>
    <w:link w:val="Style_2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basedOn w:val="Style_2"/>
    <w:next w:val="Style_2"/>
    <w:link w:val="Style_23_ch"/>
    <w:uiPriority w:val="9"/>
    <w:qFormat/>
    <w:pPr>
      <w:keepNext w:val="1"/>
      <w:keepLines w:val="1"/>
      <w:spacing w:before="200"/>
      <w:ind/>
      <w:outlineLvl w:val="3"/>
    </w:pPr>
    <w:rPr>
      <w:rFonts w:asciiTheme="majorAscii" w:hAnsiTheme="majorHAnsi"/>
      <w:b w:val="1"/>
      <w:i w:val="1"/>
      <w:color w:themeColor="accent1" w:val="4F81BD"/>
    </w:rPr>
  </w:style>
  <w:style w:styleId="Style_23_ch" w:type="character">
    <w:name w:val="heading 4"/>
    <w:basedOn w:val="Style_2_ch"/>
    <w:link w:val="Style_23"/>
    <w:rPr>
      <w:rFonts w:asciiTheme="majorAscii" w:hAnsiTheme="majorHAnsi"/>
      <w:b w:val="1"/>
      <w:i w:val="1"/>
      <w:color w:themeColor="accent1" w:val="4F81BD"/>
    </w:rPr>
  </w:style>
  <w:style w:styleId="Style_24" w:type="paragraph">
    <w:name w:val="Default Paragraph Font"/>
    <w:link w:val="Style_24_ch"/>
  </w:style>
  <w:style w:styleId="Style_24_ch" w:type="character">
    <w:name w:val="Default Paragraph Font"/>
    <w:link w:val="Style_24"/>
  </w:style>
  <w:style w:styleId="Style_25" w:type="paragraph">
    <w:name w:val="heading 2"/>
    <w:basedOn w:val="Style_2"/>
    <w:next w:val="Style_2"/>
    <w:link w:val="Style_25_ch"/>
    <w:uiPriority w:val="9"/>
    <w:qFormat/>
    <w:pPr>
      <w:keepNext w:val="1"/>
      <w:keepLines w:val="1"/>
      <w:spacing w:before="200"/>
      <w:ind/>
      <w:outlineLvl w:val="1"/>
    </w:pPr>
    <w:rPr>
      <w:rFonts w:asciiTheme="majorAscii" w:hAnsiTheme="majorHAnsi"/>
      <w:b w:val="1"/>
      <w:color w:themeColor="accent1" w:val="4F81BD"/>
      <w:sz w:val="26"/>
    </w:rPr>
  </w:style>
  <w:style w:styleId="Style_25_ch" w:type="character">
    <w:name w:val="heading 2"/>
    <w:basedOn w:val="Style_2_ch"/>
    <w:link w:val="Style_25"/>
    <w:rPr>
      <w:rFonts w:asciiTheme="majorAscii" w:hAnsiTheme="majorHAnsi"/>
      <w:b w:val="1"/>
      <w:color w:themeColor="accent1" w:val="4F81BD"/>
      <w:sz w:val="26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8" Target="numbering.xml" Type="http://schemas.openxmlformats.org/officeDocument/2006/relationships/numbering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2025-12-12T06:50:56Z</dcterms:modified>
</cp:coreProperties>
</file>